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4"/>
        <w:pBdr/>
        <w:spacing/>
        <w:ind/>
        <w:rPr/>
      </w:pPr>
      <w:r>
        <w:t xml:space="preserve">Příloha č. 7 výzev č. 79/80/2025 OPST</w:t>
      </w:r>
      <w:r/>
    </w:p>
    <w:p>
      <w:pPr>
        <w:pBdr/>
        <w:spacing/>
        <w:ind/>
        <w:rPr>
          <w:rFonts w:ascii="Segoe UI" w:hAnsi="Segoe UI" w:cs="Segoe UI" w:eastAsiaTheme="minorEastAsia"/>
          <w:b/>
          <w:caps/>
          <w:color w:val="3e1f65"/>
          <w:sz w:val="24"/>
          <w:szCs w:val="20"/>
          <w:lang w:eastAsia="cs-CZ"/>
        </w:rPr>
      </w:pPr>
      <w:r>
        <w:rPr>
          <w:rFonts w:ascii="Segoe UI" w:hAnsi="Segoe UI" w:cs="Segoe UI" w:eastAsiaTheme="minorEastAsia"/>
          <w:b/>
          <w:caps/>
          <w:color w:val="3e1f65"/>
          <w:sz w:val="24"/>
          <w:szCs w:val="20"/>
          <w:lang w:eastAsia="cs-CZ"/>
        </w:rPr>
        <w:t xml:space="preserve">Analýza souladu s environmentálními podmínkami pro zařízení poskytující turistické ubytování (kempy)</w:t>
      </w:r>
      <w:r>
        <w:rPr>
          <w:rFonts w:ascii="Segoe UI" w:hAnsi="Segoe UI" w:cs="Segoe UI" w:eastAsiaTheme="minorEastAsia"/>
          <w:b/>
          <w:caps/>
          <w:color w:val="3e1f65"/>
          <w:sz w:val="24"/>
          <w:szCs w:val="20"/>
          <w:lang w:eastAsia="cs-CZ"/>
        </w:rPr>
      </w:r>
    </w:p>
    <w:p>
      <w:pPr>
        <w:pBdr/>
        <w:spacing/>
        <w:ind/>
        <w:jc w:val="both"/>
        <w:rPr>
          <w:rFonts w:ascii="Segoe UI" w:hAnsi="Segoe UI" w:eastAsia="Times New Roman" w:cs="Segoe UI"/>
          <w:b/>
          <w:sz w:val="20"/>
          <w:szCs w:val="20"/>
          <w:lang w:eastAsia="cs-CZ"/>
        </w:rPr>
      </w:pPr>
      <w:r>
        <w:rPr>
          <w:rFonts w:ascii="Segoe UI" w:hAnsi="Segoe UI" w:eastAsia="Times New Roman" w:cs="Segoe UI"/>
          <w:b/>
          <w:sz w:val="20"/>
          <w:szCs w:val="20"/>
          <w:lang w:eastAsia="cs-CZ"/>
        </w:rPr>
        <w:t xml:space="preserve">Podaktivita</w:t>
      </w:r>
      <w:r>
        <w:rPr>
          <w:rFonts w:ascii="Segoe UI" w:hAnsi="Segoe UI" w:eastAsia="Times New Roman" w:cs="Segoe UI"/>
          <w:b/>
          <w:sz w:val="20"/>
          <w:szCs w:val="20"/>
          <w:lang w:eastAsia="cs-CZ"/>
        </w:rPr>
        <w:t xml:space="preserve"> 2.1 Výstavba a modernizace multifunkčních rekreačních areálů</w:t>
      </w:r>
      <w:r>
        <w:rPr>
          <w:rFonts w:ascii="Segoe UI" w:hAnsi="Segoe UI" w:eastAsia="Times New Roman" w:cs="Segoe UI"/>
          <w:b/>
          <w:sz w:val="20"/>
          <w:szCs w:val="20"/>
          <w:lang w:eastAsia="cs-CZ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Obchodní jméno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žadatele</w:t>
            </w:r>
            <w:r>
              <w:rPr>
                <w:rFonts w:ascii="Segoe UI" w:hAnsi="Segoe UI" w:cs="Segoe UI"/>
                <w:b/>
                <w:sz w:val="20"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Sídlo / Adresa žadatele</w:t>
            </w:r>
            <w:r>
              <w:rPr>
                <w:rFonts w:ascii="Segoe UI" w:hAnsi="Segoe UI" w:cs="Segoe UI"/>
                <w:b/>
                <w:sz w:val="20"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IČ</w:t>
            </w:r>
            <w:r>
              <w:rPr>
                <w:rFonts w:ascii="Segoe UI" w:hAnsi="Segoe UI" w:cs="Segoe UI"/>
                <w:b/>
                <w:sz w:val="20"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</w:r>
          </w:p>
        </w:tc>
      </w:tr>
      <w:tr>
        <w:trPr>
          <w:trHeight w:val="431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Název projektu</w:t>
            </w:r>
            <w:r>
              <w:rPr>
                <w:rFonts w:ascii="Segoe UI" w:hAnsi="Segoe UI" w:cs="Segoe UI"/>
                <w:b/>
                <w:bCs/>
                <w:sz w:val="20"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</w:r>
          </w:p>
        </w:tc>
      </w:tr>
    </w:tbl>
    <w:p>
      <w:pPr>
        <w:pBdr/>
        <w:spacing/>
        <w:ind/>
        <w:jc w:val="both"/>
        <w:rPr>
          <w:rFonts w:ascii="Segoe UI" w:hAnsi="Segoe UI" w:eastAsia="Times New Roman" w:cs="Segoe UI"/>
          <w:b/>
          <w:sz w:val="20"/>
          <w:szCs w:val="20"/>
          <w:lang w:eastAsia="cs-CZ"/>
        </w:rPr>
      </w:pPr>
      <w:r>
        <w:rPr>
          <w:rFonts w:ascii="Segoe UI" w:hAnsi="Segoe UI" w:eastAsia="Times New Roman" w:cs="Segoe UI"/>
          <w:b/>
          <w:sz w:val="20"/>
          <w:szCs w:val="20"/>
          <w:lang w:eastAsia="cs-CZ"/>
        </w:rPr>
      </w:r>
      <w:r>
        <w:rPr>
          <w:rFonts w:ascii="Segoe UI" w:hAnsi="Segoe UI" w:eastAsia="Times New Roman" w:cs="Segoe UI"/>
          <w:b/>
          <w:sz w:val="20"/>
          <w:szCs w:val="20"/>
          <w:lang w:eastAsia="cs-CZ"/>
        </w:rPr>
      </w:r>
    </w:p>
    <w:p>
      <w:pPr>
        <w:pBdr/>
        <w:spacing w:after="120" w:line="264" w:lineRule="auto"/>
        <w:ind/>
        <w:jc w:val="both"/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</w:pP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Žadatel 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podpisem 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a předložením dokumentu spolu s žádostí o podporu 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prohlašuje, že projekt je v souladu s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 níže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 uvedenými podmínkami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  <w:t xml:space="preserve">.</w:t>
      </w:r>
      <w:r>
        <w:rPr>
          <w:rFonts w:ascii="Segoe UI" w:hAnsi="Segoe UI" w:eastAsia="Times New Roman" w:cs="Segoe UI"/>
          <w:color w:val="000000"/>
          <w:sz w:val="20"/>
          <w:szCs w:val="20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Segoe UI" w:hAnsi="Segoe UI" w:cs="Segoe UI" w:eastAsiaTheme="minorEastAsia"/>
          <w:b/>
          <w:caps/>
          <w:color w:val="3e1f65"/>
          <w:sz w:val="24"/>
          <w:szCs w:val="20"/>
          <w:lang w:eastAsia="cs-CZ"/>
        </w:rPr>
      </w:pPr>
      <w:r>
        <w:rPr>
          <w:rFonts w:ascii="Segoe UI" w:hAnsi="Segoe UI" w:cs="Segoe UI" w:eastAsiaTheme="minorEastAsia"/>
          <w:b/>
          <w:caps/>
          <w:color w:val="3e1f65"/>
          <w:sz w:val="24"/>
          <w:szCs w:val="20"/>
          <w:lang w:eastAsia="cs-CZ"/>
        </w:rPr>
      </w:r>
      <w:r>
        <w:rPr>
          <w:rFonts w:ascii="Segoe UI" w:hAnsi="Segoe UI" w:cs="Segoe UI" w:eastAsiaTheme="minorEastAsia"/>
          <w:b/>
          <w:caps/>
          <w:color w:val="3e1f65"/>
          <w:sz w:val="24"/>
          <w:szCs w:val="20"/>
          <w:lang w:eastAsia="cs-CZ"/>
        </w:rPr>
      </w:r>
    </w:p>
    <w:tbl>
      <w:tblPr>
        <w:tblStyle w:val="867"/>
        <w:tblW w:w="9067" w:type="dxa"/>
        <w:jc w:val="center"/>
        <w:tblBorders/>
        <w:tblLook w:val="04A0" w:firstRow="1" w:lastRow="0" w:firstColumn="1" w:lastColumn="0" w:noHBand="0" w:noVBand="1"/>
      </w:tblPr>
      <w:tblGrid>
        <w:gridCol w:w="1125"/>
        <w:gridCol w:w="6960"/>
        <w:gridCol w:w="982"/>
      </w:tblGrid>
      <w:tr>
        <w:trPr>
          <w:jc w:val="center"/>
          <w:trHeight w:val="559"/>
        </w:trPr>
        <w:tc>
          <w:tcPr>
            <w:gridSpan w:val="2"/>
            <w:shd w:val="clear" w:color="auto" w:fill="e7e6e6" w:themeFill="background2"/>
            <w:tcBorders/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Podmínky pro zařízení poskytující turistické ubytování (kempy)</w: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</w:p>
        </w:tc>
        <w:tc>
          <w:tcPr>
            <w:shd w:val="clear" w:color="auto" w:fill="e7e6e6" w:themeFill="background2"/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Splněno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846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Zařízení pro vytápění vnitřních prostor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 zařízení pro ohřev vody musí náležet do nejúspornější energetické třídy dostupné pro danou kategorii zařízení.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2146853300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860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Klimatizátory a tepelná čerpadla na bázi vzduchu musí náležet do nejúspornější energetické třídy dostupné pro danou kategorii zařízení.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-1916312480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846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Osvětlení musí náležet do nejúspornější energetické třídy dostupné pro danou kategorii zařízení.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450373657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846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Spotřebiče pro domácnost, jako jsou chladicí spotřebiče, elektrické trouby, myčky nádobí a pračky, musí náležet do nejúspornější energetické třídy dostupné pro danou kategorii zařízení.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-1982150074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1085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 účely, kde není nezbytné použití užitkové a pitné vody, musí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být využívány alternativní zdroje vody, jako je regenerovaná voda nebo šedá voda z prádelen, sprch anebo umyvadel; dešťová voda zachycovaná ze střechy či kondenzát ze systémů pro vytápění, ventilaci a klimatizaci. 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975342855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846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 provoz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kempu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musí být zajištěn tříděný sběr odpadu včetně biologicky rozložitelného odpadu.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-1645118142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846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 areálu ve správě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kempu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musí být dostupná minimálně jedna dobíjecí stanice pro elektrická vozidla. 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-1278638007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  <w:tr>
        <w:trPr>
          <w:jc w:val="center"/>
          <w:trHeight w:val="1138"/>
        </w:trPr>
        <w:tc>
          <w:tcPr>
            <w:tcBorders/>
            <w:tcW w:w="113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5"/>
              </w:numPr>
              <w:pBdr/>
              <w:spacing/>
              <w:ind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1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Alespoň 90 % venkovních ploch areálu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kempu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nesmí být pokryto zpevňujícími materiály, jež zabraňují patřičnému odvodňování a provzdušňování půdy.</w:t>
            </w:r>
            <w:r>
              <w:rPr>
                <w:rFonts w:ascii="Segoe UI" w:hAnsi="Segoe UI" w:cs="Segoe UI"/>
                <w:sz w:val="20"/>
                <w:szCs w:val="20"/>
              </w:rPr>
            </w:r>
          </w:p>
        </w:tc>
        <w:tc>
          <w:tcPr>
            <w:tcBorders/>
            <w:tcW w:w="7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Segoe UI" w:hAnsi="Segoe UI" w:cs="Segoe UI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id w:val="-1224447631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</w:rPr>
                  <w:t xml:space="preserve">☐</w:t>
                </w:r>
              </w:sdtContent>
            </w:sdt>
            <w:r/>
            <w:r>
              <w:rPr>
                <w:rFonts w:ascii="Segoe UI" w:hAnsi="Segoe UI" w:cs="Segoe UI"/>
                <w:sz w:val="20"/>
                <w:szCs w:val="20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CellSpacing w:w="0" w:type="dxa"/>
        <w:tblInd w:w="70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2296"/>
        <w:gridCol w:w="296"/>
        <w:gridCol w:w="1657"/>
        <w:gridCol w:w="2486"/>
      </w:tblGrid>
      <w:tr>
        <w:trPr>
          <w:tblCellSpacing w:w="0" w:type="dxa"/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5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a místo podpisu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</w:tr>
      <w:tr>
        <w:trPr>
          <w:tblCellSpacing w:w="0" w:type="dxa"/>
          <w:trHeight w:val="257"/>
        </w:trPr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</w:tr>
      <w:tr>
        <w:trPr>
          <w:tblCellSpacing w:w="0" w:type="dxa"/>
          <w:trHeight w:val="1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5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Jméno a podpis osoby oprávněné zastupovat žadatele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Razítko</w:t>
            </w: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hAnsi="Segoe UI" w:eastAsia="Times New Roman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(pokud je součástí podpisu žadatele)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8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hAnsi="Segoe UI" w:eastAsia="Times New Roman" w:cs="Segoe UI"/>
                <w:color w:val="000000"/>
                <w:sz w:val="20"/>
                <w:szCs w:val="20"/>
                <w:lang w:eastAsia="cs-CZ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86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0%1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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8"/>
    <w:link w:val="68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98"/>
    <w:link w:val="6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69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8"/>
    <w:link w:val="6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8"/>
    <w:link w:val="6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8"/>
    <w:link w:val="69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8"/>
    <w:link w:val="69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8"/>
    <w:link w:val="6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8"/>
    <w:link w:val="711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98"/>
    <w:link w:val="713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715"/>
    <w:uiPriority w:val="29"/>
    <w:pPr>
      <w:pBdr/>
      <w:spacing/>
      <w:ind/>
    </w:pPr>
    <w:rPr>
      <w:i/>
    </w:rPr>
  </w:style>
  <w:style w:type="character" w:styleId="41">
    <w:name w:val="Intense Quote Char"/>
    <w:link w:val="717"/>
    <w:uiPriority w:val="30"/>
    <w:pPr>
      <w:pBdr/>
      <w:spacing/>
      <w:ind/>
    </w:pPr>
    <w:rPr>
      <w:i/>
    </w:rPr>
  </w:style>
  <w:style w:type="character" w:styleId="176">
    <w:name w:val="Footnote Text Char"/>
    <w:link w:val="849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52"/>
    <w:uiPriority w:val="99"/>
    <w:pPr>
      <w:pBdr/>
      <w:spacing/>
      <w:ind/>
    </w:pPr>
    <w:rPr>
      <w:sz w:val="20"/>
    </w:rPr>
  </w:style>
  <w:style w:type="paragraph" w:styleId="688" w:default="1">
    <w:name w:val="Normal"/>
    <w:qFormat/>
    <w:pPr>
      <w:pBdr/>
      <w:spacing/>
      <w:ind/>
    </w:pPr>
  </w:style>
  <w:style w:type="paragraph" w:styleId="689">
    <w:name w:val="Heading 1"/>
    <w:basedOn w:val="688"/>
    <w:next w:val="688"/>
    <w:link w:val="70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0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  <w:pPr>
      <w:pBdr/>
      <w:spacing/>
      <w:ind/>
    </w:pPr>
  </w:style>
  <w:style w:type="table" w:styleId="6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 w:default="1">
    <w:name w:val="No List"/>
    <w:uiPriority w:val="99"/>
    <w:semiHidden/>
    <w:unhideWhenUsed/>
    <w:pPr>
      <w:pBdr/>
      <w:spacing/>
      <w:ind/>
    </w:pPr>
  </w:style>
  <w:style w:type="character" w:styleId="701" w:customStyle="1">
    <w:name w:val="Nadpis 1 Char"/>
    <w:basedOn w:val="698"/>
    <w:link w:val="68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2" w:customStyle="1">
    <w:name w:val="Nadpis 2 Char"/>
    <w:basedOn w:val="698"/>
    <w:link w:val="69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3" w:customStyle="1">
    <w:name w:val="Nadpis 3 Char"/>
    <w:basedOn w:val="698"/>
    <w:link w:val="6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4" w:customStyle="1">
    <w:name w:val="Nadpis 4 Char"/>
    <w:basedOn w:val="698"/>
    <w:link w:val="69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Nadpis 5 Char"/>
    <w:basedOn w:val="698"/>
    <w:link w:val="6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Nadpis 6 Char"/>
    <w:basedOn w:val="698"/>
    <w:link w:val="6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Nadpis 7 Char"/>
    <w:basedOn w:val="698"/>
    <w:link w:val="69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Nadpis 8 Char"/>
    <w:basedOn w:val="698"/>
    <w:link w:val="69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Nadpis 9 Char"/>
    <w:basedOn w:val="698"/>
    <w:link w:val="6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pBdr/>
      <w:spacing w:after="0" w:line="240" w:lineRule="auto"/>
      <w:ind/>
    </w:pPr>
  </w:style>
  <w:style w:type="paragraph" w:styleId="711">
    <w:name w:val="Title"/>
    <w:basedOn w:val="688"/>
    <w:next w:val="688"/>
    <w:link w:val="71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2" w:customStyle="1">
    <w:name w:val="Název Char"/>
    <w:basedOn w:val="698"/>
    <w:link w:val="711"/>
    <w:uiPriority w:val="10"/>
    <w:pPr>
      <w:pBdr/>
      <w:spacing/>
      <w:ind/>
    </w:pPr>
    <w:rPr>
      <w:sz w:val="48"/>
      <w:szCs w:val="48"/>
    </w:rPr>
  </w:style>
  <w:style w:type="paragraph" w:styleId="713">
    <w:name w:val="Subtitle"/>
    <w:basedOn w:val="688"/>
    <w:next w:val="688"/>
    <w:link w:val="71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4" w:customStyle="1">
    <w:name w:val="Podnadpis Char"/>
    <w:basedOn w:val="698"/>
    <w:link w:val="713"/>
    <w:uiPriority w:val="11"/>
    <w:pPr>
      <w:pBdr/>
      <w:spacing/>
      <w:ind/>
    </w:pPr>
    <w:rPr>
      <w:sz w:val="24"/>
      <w:szCs w:val="24"/>
    </w:rPr>
  </w:style>
  <w:style w:type="paragraph" w:styleId="715">
    <w:name w:val="Quote"/>
    <w:basedOn w:val="688"/>
    <w:next w:val="688"/>
    <w:link w:val="716"/>
    <w:uiPriority w:val="29"/>
    <w:qFormat/>
    <w:pPr>
      <w:pBdr/>
      <w:spacing/>
      <w:ind w:right="720" w:left="720"/>
    </w:pPr>
    <w:rPr>
      <w:i/>
    </w:rPr>
  </w:style>
  <w:style w:type="character" w:styleId="716" w:customStyle="1">
    <w:name w:val="Citát Char"/>
    <w:link w:val="715"/>
    <w:uiPriority w:val="29"/>
    <w:pPr>
      <w:pBdr/>
      <w:spacing/>
      <w:ind/>
    </w:pPr>
    <w:rPr>
      <w:i/>
    </w:rPr>
  </w:style>
  <w:style w:type="paragraph" w:styleId="717">
    <w:name w:val="Intense Quote"/>
    <w:basedOn w:val="688"/>
    <w:next w:val="688"/>
    <w:link w:val="7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8" w:customStyle="1">
    <w:name w:val="Výrazný citát Char"/>
    <w:link w:val="717"/>
    <w:uiPriority w:val="30"/>
    <w:pPr>
      <w:pBdr/>
      <w:spacing/>
      <w:ind/>
    </w:pPr>
    <w:rPr>
      <w:i/>
    </w:rPr>
  </w:style>
  <w:style w:type="character" w:styleId="719" w:customStyle="1">
    <w:name w:val="Header Char"/>
    <w:basedOn w:val="698"/>
    <w:uiPriority w:val="99"/>
    <w:pPr>
      <w:pBdr/>
      <w:spacing/>
      <w:ind/>
    </w:pPr>
  </w:style>
  <w:style w:type="character" w:styleId="720" w:customStyle="1">
    <w:name w:val="Footer Char"/>
    <w:basedOn w:val="698"/>
    <w:uiPriority w:val="99"/>
    <w:pPr>
      <w:pBdr/>
      <w:spacing/>
      <w:ind/>
    </w:pPr>
  </w:style>
  <w:style w:type="paragraph" w:styleId="721">
    <w:name w:val="Caption"/>
    <w:basedOn w:val="688"/>
    <w:next w:val="688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  <w:pPr>
      <w:pBdr/>
      <w:spacing/>
      <w:ind/>
    </w:pPr>
  </w:style>
  <w:style w:type="table" w:styleId="723" w:customStyle="1">
    <w:name w:val="Table Grid Light"/>
    <w:basedOn w:val="69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1"/>
    <w:basedOn w:val="69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2"/>
    <w:basedOn w:val="69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1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2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3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5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6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1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2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3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4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5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6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1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2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3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4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5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6"/>
    <w:basedOn w:val="69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8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49">
    <w:name w:val="footnote text"/>
    <w:basedOn w:val="688"/>
    <w:link w:val="85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0" w:customStyle="1">
    <w:name w:val="Text pozn. pod čarou Char"/>
    <w:link w:val="849"/>
    <w:uiPriority w:val="99"/>
    <w:pPr>
      <w:pBdr/>
      <w:spacing/>
      <w:ind/>
    </w:pPr>
    <w:rPr>
      <w:sz w:val="18"/>
    </w:rPr>
  </w:style>
  <w:style w:type="character" w:styleId="851">
    <w:name w:val="footnote reference"/>
    <w:basedOn w:val="698"/>
    <w:uiPriority w:val="99"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688"/>
    <w:link w:val="85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3" w:customStyle="1">
    <w:name w:val="Text vysvětlivek Char"/>
    <w:link w:val="852"/>
    <w:uiPriority w:val="99"/>
    <w:pPr>
      <w:pBdr/>
      <w:spacing/>
      <w:ind/>
    </w:pPr>
    <w:rPr>
      <w:sz w:val="20"/>
    </w:rPr>
  </w:style>
  <w:style w:type="character" w:styleId="854">
    <w:name w:val="end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paragraph" w:styleId="855">
    <w:name w:val="toc 1"/>
    <w:basedOn w:val="688"/>
    <w:next w:val="688"/>
    <w:uiPriority w:val="39"/>
    <w:unhideWhenUsed/>
    <w:pPr>
      <w:pBdr/>
      <w:spacing w:after="57"/>
      <w:ind/>
    </w:pPr>
  </w:style>
  <w:style w:type="paragraph" w:styleId="856">
    <w:name w:val="toc 2"/>
    <w:basedOn w:val="688"/>
    <w:next w:val="688"/>
    <w:uiPriority w:val="39"/>
    <w:unhideWhenUsed/>
    <w:pPr>
      <w:pBdr/>
      <w:spacing w:after="57"/>
      <w:ind w:left="283"/>
    </w:pPr>
  </w:style>
  <w:style w:type="paragraph" w:styleId="857">
    <w:name w:val="toc 3"/>
    <w:basedOn w:val="688"/>
    <w:next w:val="688"/>
    <w:uiPriority w:val="39"/>
    <w:unhideWhenUsed/>
    <w:pPr>
      <w:pBdr/>
      <w:spacing w:after="57"/>
      <w:ind w:left="567"/>
    </w:pPr>
  </w:style>
  <w:style w:type="paragraph" w:styleId="858">
    <w:name w:val="toc 4"/>
    <w:basedOn w:val="688"/>
    <w:next w:val="688"/>
    <w:uiPriority w:val="39"/>
    <w:unhideWhenUsed/>
    <w:pPr>
      <w:pBdr/>
      <w:spacing w:after="57"/>
      <w:ind w:left="850"/>
    </w:pPr>
  </w:style>
  <w:style w:type="paragraph" w:styleId="859">
    <w:name w:val="toc 5"/>
    <w:basedOn w:val="688"/>
    <w:next w:val="688"/>
    <w:uiPriority w:val="39"/>
    <w:unhideWhenUsed/>
    <w:pPr>
      <w:pBdr/>
      <w:spacing w:after="57"/>
      <w:ind w:left="1134"/>
    </w:pPr>
  </w:style>
  <w:style w:type="paragraph" w:styleId="860">
    <w:name w:val="toc 6"/>
    <w:basedOn w:val="688"/>
    <w:next w:val="688"/>
    <w:uiPriority w:val="39"/>
    <w:unhideWhenUsed/>
    <w:pPr>
      <w:pBdr/>
      <w:spacing w:after="57"/>
      <w:ind w:left="1417"/>
    </w:pPr>
  </w:style>
  <w:style w:type="paragraph" w:styleId="861">
    <w:name w:val="toc 7"/>
    <w:basedOn w:val="688"/>
    <w:next w:val="688"/>
    <w:uiPriority w:val="39"/>
    <w:unhideWhenUsed/>
    <w:pPr>
      <w:pBdr/>
      <w:spacing w:after="57"/>
      <w:ind w:left="1701"/>
    </w:pPr>
  </w:style>
  <w:style w:type="paragraph" w:styleId="862">
    <w:name w:val="toc 8"/>
    <w:basedOn w:val="688"/>
    <w:next w:val="688"/>
    <w:uiPriority w:val="39"/>
    <w:unhideWhenUsed/>
    <w:pPr>
      <w:pBdr/>
      <w:spacing w:after="57"/>
      <w:ind w:left="1984"/>
    </w:pPr>
  </w:style>
  <w:style w:type="paragraph" w:styleId="863">
    <w:name w:val="toc 9"/>
    <w:basedOn w:val="688"/>
    <w:next w:val="688"/>
    <w:uiPriority w:val="39"/>
    <w:unhideWhenUsed/>
    <w:pPr>
      <w:pBdr/>
      <w:spacing w:after="57"/>
      <w:ind w:left="2268"/>
    </w:pPr>
  </w:style>
  <w:style w:type="paragraph" w:styleId="864">
    <w:name w:val="TOC Heading"/>
    <w:uiPriority w:val="39"/>
    <w:unhideWhenUsed/>
    <w:pPr>
      <w:pBdr/>
      <w:spacing/>
      <w:ind/>
    </w:pPr>
  </w:style>
  <w:style w:type="paragraph" w:styleId="865">
    <w:name w:val="table of figures"/>
    <w:basedOn w:val="688"/>
    <w:next w:val="688"/>
    <w:uiPriority w:val="99"/>
    <w:unhideWhenUsed/>
    <w:pPr>
      <w:pBdr/>
      <w:spacing w:after="0"/>
      <w:ind/>
    </w:pPr>
  </w:style>
  <w:style w:type="paragraph" w:styleId="866">
    <w:name w:val="List Paragraph"/>
    <w:basedOn w:val="688"/>
    <w:uiPriority w:val="34"/>
    <w:qFormat/>
    <w:pPr>
      <w:pBdr/>
      <w:spacing/>
      <w:ind w:left="720"/>
      <w:contextualSpacing w:val="true"/>
    </w:pPr>
  </w:style>
  <w:style w:type="table" w:styleId="867">
    <w:name w:val="Table Grid"/>
    <w:basedOn w:val="69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8" w:customStyle="1">
    <w:name w:val="markedcontent"/>
    <w:basedOn w:val="698"/>
    <w:pPr>
      <w:pBdr/>
      <w:spacing/>
      <w:ind/>
    </w:pPr>
  </w:style>
  <w:style w:type="paragraph" w:styleId="869">
    <w:name w:val="Header"/>
    <w:basedOn w:val="688"/>
    <w:link w:val="87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70" w:customStyle="1">
    <w:name w:val="Záhlaví Char"/>
    <w:basedOn w:val="698"/>
    <w:link w:val="869"/>
    <w:uiPriority w:val="99"/>
    <w:pPr>
      <w:pBdr/>
      <w:spacing/>
      <w:ind/>
    </w:pPr>
  </w:style>
  <w:style w:type="paragraph" w:styleId="871">
    <w:name w:val="Footer"/>
    <w:basedOn w:val="688"/>
    <w:link w:val="87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72" w:customStyle="1">
    <w:name w:val="Zápatí Char"/>
    <w:basedOn w:val="698"/>
    <w:link w:val="871"/>
    <w:uiPriority w:val="99"/>
    <w:pPr>
      <w:pBdr/>
      <w:spacing/>
      <w:ind/>
    </w:pPr>
  </w:style>
  <w:style w:type="character" w:styleId="873">
    <w:name w:val="page number"/>
    <w:basedOn w:val="698"/>
    <w:pPr>
      <w:pBdr/>
      <w:spacing/>
      <w:ind/>
    </w:pPr>
  </w:style>
  <w:style w:type="paragraph" w:styleId="874" w:customStyle="1">
    <w:name w:val="Mezititulek"/>
    <w:qFormat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before="240" w:line="264" w:lineRule="auto"/>
      <w:ind/>
      <w:jc w:val="both"/>
    </w:pPr>
    <w:rPr>
      <w:rFonts w:ascii="Segoe UI" w:hAnsi="Segoe UI" w:eastAsia="Calibri" w:cs="Segoe UI"/>
      <w:b/>
      <w:sz w:val="20"/>
      <w:szCs w:val="20"/>
    </w:rPr>
  </w:style>
  <w:style w:type="paragraph" w:styleId="875" w:customStyle="1">
    <w:name w:val="docdata"/>
    <w:basedOn w:val="68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876">
    <w:name w:val="Normal (Web)"/>
    <w:basedOn w:val="688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Pavla</dc:creator>
  <cp:keywords/>
  <dc:description/>
  <cp:lastModifiedBy>Komm Tomáš, Mgr. Bc.</cp:lastModifiedBy>
  <cp:revision>3</cp:revision>
  <dcterms:created xsi:type="dcterms:W3CDTF">2023-09-25T07:55:00Z</dcterms:created>
  <dcterms:modified xsi:type="dcterms:W3CDTF">2025-05-10T21:06:40Z</dcterms:modified>
</cp:coreProperties>
</file>